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p>
    <w:p>
      <w:pPr>
        <w:spacing w:line="400" w:lineRule="atLeast"/>
        <w:jc w:val="left"/>
        <w:rPr>
          <w:rFonts w:ascii="微软雅黑" w:hAnsi="微软雅黑" w:eastAsia="微软雅黑" w:cs="Arial"/>
          <w:b/>
          <w:szCs w:val="24"/>
        </w:rPr>
      </w:pPr>
      <w:r>
        <w:rPr>
          <w:rFonts w:hint="eastAsia" w:ascii="微软雅黑" w:hAnsi="微软雅黑" w:eastAsia="微软雅黑" w:cs="Arial"/>
          <w:b/>
          <w:szCs w:val="24"/>
        </w:rPr>
        <w:t>企业介绍</w:t>
      </w:r>
    </w:p>
    <w:p>
      <w:pPr>
        <w:spacing w:line="400" w:lineRule="atLeast"/>
        <w:ind w:firstLine="420" w:firstLineChars="20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润道知识产权代理公司（简称UCOGO），坐落于南京长三角技术产权交易中心内，是一家由中国工商管理局批准的以知识产权为核心的综合性服务机构。</w:t>
      </w:r>
    </w:p>
    <w:p>
      <w:pPr>
        <w:spacing w:line="400" w:lineRule="atLeas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bCs/>
          <w:sz w:val="21"/>
          <w:szCs w:val="21"/>
          <w:lang w:val="zh-CN"/>
        </w:rPr>
        <w:t>为实现《国家知识产权战略纲要》的总体目标</w:t>
      </w:r>
      <w:r>
        <w:rPr>
          <w:rFonts w:hint="eastAsia" w:ascii="微软雅黑" w:hAnsi="微软雅黑" w:eastAsia="微软雅黑" w:cs="微软雅黑"/>
          <w:b/>
          <w:bCs/>
          <w:sz w:val="21"/>
          <w:szCs w:val="21"/>
          <w:lang w:val="zh-CN"/>
        </w:rPr>
        <w:t>，</w:t>
      </w:r>
      <w:r>
        <w:rPr>
          <w:rFonts w:hint="eastAsia" w:ascii="微软雅黑" w:hAnsi="微软雅黑" w:eastAsia="微软雅黑" w:cs="微软雅黑"/>
          <w:sz w:val="21"/>
          <w:szCs w:val="21"/>
          <w:lang w:val="zh-CN"/>
        </w:rPr>
        <w:t>润道（UCOGO）一直致力于推动中国科技型企业知识产权的战略发展进程。润道（UCOGO）服务涵盖机械、电子、化学、物理、生化、通讯等诸多领域。除代理国内外法人及自然人的专利、商标申请及版权登记外，公司还可提供知识产权保护海关备案、许可证贸易、技术转让、法律咨询、侵权调查取证、知识产权诉讼、法律顾问、企业知识产权融资、企业贯标管理等知识产权服务。</w:t>
      </w:r>
      <w:r>
        <w:rPr>
          <w:rFonts w:hint="eastAsia" w:ascii="微软雅黑" w:hAnsi="微软雅黑" w:eastAsia="微软雅黑" w:cs="微软雅黑"/>
          <w:sz w:val="21"/>
          <w:szCs w:val="21"/>
        </w:rPr>
        <w:t>润道以全面专业的知识产权综合服务助力企业布局知识产权战略，以保障企业在安全和高效的环境中进行创新升级。</w:t>
      </w:r>
    </w:p>
    <w:p>
      <w:pPr>
        <w:spacing w:line="400" w:lineRule="atLeast"/>
        <w:jc w:val="left"/>
        <w:rPr>
          <w:rFonts w:ascii="微软雅黑" w:hAnsi="微软雅黑" w:eastAsia="微软雅黑" w:cs="Arial"/>
          <w:b/>
          <w:szCs w:val="24"/>
        </w:rPr>
      </w:pPr>
      <w:r>
        <w:rPr>
          <w:rFonts w:hint="eastAsia" w:ascii="微软雅黑" w:hAnsi="微软雅黑" w:eastAsia="微软雅黑" w:cs="Arial"/>
          <w:b/>
          <w:szCs w:val="24"/>
        </w:rPr>
        <w:t>企业荣誉</w:t>
      </w:r>
    </w:p>
    <w:p>
      <w:pPr>
        <w:autoSpaceDN w:val="0"/>
        <w:spacing w:line="400" w:lineRule="atLeast"/>
        <w:textAlignment w:val="baseline"/>
        <w:rPr>
          <w:rFonts w:hint="eastAsia" w:ascii="微软雅黑" w:hAnsi="微软雅黑" w:eastAsia="微软雅黑" w:cs="微软雅黑"/>
          <w:sz w:val="24"/>
          <w:szCs w:val="24"/>
        </w:rPr>
      </w:pPr>
      <w:r>
        <w:rPr>
          <w:rFonts w:ascii="微软雅黑" w:hAnsi="微软雅黑" w:eastAsia="微软雅黑" w:cs="Arial"/>
          <w:sz w:val="21"/>
          <w:szCs w:val="24"/>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zh-CN"/>
        </w:rPr>
        <w:t>润道秉承“润企有价，道法知识”的价值观，努力开拓，在行业内取得了优异成绩。目前润道</w:t>
      </w:r>
      <w:r>
        <w:rPr>
          <w:rFonts w:hint="eastAsia" w:ascii="微软雅黑" w:hAnsi="微软雅黑" w:eastAsia="微软雅黑" w:cs="微软雅黑"/>
          <w:sz w:val="24"/>
          <w:szCs w:val="24"/>
        </w:rPr>
        <w:t>已通过</w:t>
      </w:r>
      <w:r>
        <w:rPr>
          <w:rFonts w:hint="eastAsia" w:ascii="微软雅黑" w:hAnsi="微软雅黑" w:eastAsia="微软雅黑" w:cs="微软雅黑"/>
          <w:b/>
          <w:bCs/>
          <w:sz w:val="24"/>
          <w:szCs w:val="24"/>
        </w:rPr>
        <w:t>国际ISO9000体系认证</w:t>
      </w:r>
      <w:r>
        <w:rPr>
          <w:rFonts w:hint="eastAsia" w:ascii="微软雅黑" w:hAnsi="微软雅黑" w:eastAsia="微软雅黑" w:cs="微软雅黑"/>
          <w:sz w:val="24"/>
          <w:szCs w:val="24"/>
        </w:rPr>
        <w:t>，严格按照体系标准进行企业内控管理，并为客户提供标准化服务流程。同时润道也是：</w:t>
      </w:r>
    </w:p>
    <w:p>
      <w:pPr>
        <w:numPr>
          <w:ilvl w:val="0"/>
          <w:numId w:val="1"/>
        </w:numPr>
        <w:autoSpaceDN w:val="0"/>
        <w:spacing w:line="400" w:lineRule="atLeas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国家工商行政管理总局商标局备案机构</w:t>
      </w:r>
    </w:p>
    <w:p>
      <w:pPr>
        <w:numPr>
          <w:ilvl w:val="0"/>
          <w:numId w:val="1"/>
        </w:numPr>
        <w:autoSpaceDN w:val="0"/>
        <w:spacing w:line="400" w:lineRule="atLeas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国家知识产权局备案机构</w:t>
      </w:r>
    </w:p>
    <w:p>
      <w:pPr>
        <w:numPr>
          <w:ilvl w:val="0"/>
          <w:numId w:val="1"/>
        </w:numPr>
        <w:autoSpaceDN w:val="0"/>
        <w:spacing w:line="400" w:lineRule="atLeas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国际保护知识产权协会（AIPPI）会员</w:t>
      </w:r>
    </w:p>
    <w:p>
      <w:pPr>
        <w:numPr>
          <w:ilvl w:val="0"/>
          <w:numId w:val="1"/>
        </w:numPr>
        <w:spacing w:line="400" w:lineRule="atLeast"/>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江苏东南律师事务所知识产权战略合作单位</w:t>
      </w:r>
    </w:p>
    <w:p>
      <w:pPr>
        <w:numPr>
          <w:ilvl w:val="0"/>
          <w:numId w:val="1"/>
        </w:numPr>
        <w:spacing w:line="400" w:lineRule="atLeast"/>
        <w:rPr>
          <w:rFonts w:hint="eastAsia" w:ascii="微软雅黑" w:hAnsi="微软雅黑" w:eastAsia="微软雅黑" w:cs="微软雅黑"/>
          <w:sz w:val="24"/>
          <w:szCs w:val="24"/>
        </w:rPr>
      </w:pPr>
      <w:r>
        <w:rPr>
          <w:rFonts w:hint="eastAsia" w:ascii="微软雅黑" w:hAnsi="微软雅黑" w:eastAsia="微软雅黑" w:cs="微软雅黑"/>
          <w:sz w:val="24"/>
          <w:szCs w:val="24"/>
        </w:rPr>
        <w:t>江苏省中小企业局知识产权服务单位</w:t>
      </w:r>
    </w:p>
    <w:p>
      <w:pPr>
        <w:numPr>
          <w:ilvl w:val="0"/>
          <w:numId w:val="1"/>
        </w:numPr>
        <w:spacing w:line="400" w:lineRule="atLeast"/>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长三角技术产权交易中心战略合作企业</w:t>
      </w:r>
    </w:p>
    <w:p>
      <w:pPr>
        <w:spacing w:line="400" w:lineRule="atLeast"/>
        <w:ind w:firstLine="480" w:firstLineChars="200"/>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润道依靠优秀的团队力量，精湛的专业质量，规范的企业管理，</w:t>
      </w:r>
      <w:r>
        <w:rPr>
          <w:rFonts w:hint="eastAsia" w:ascii="微软雅黑" w:hAnsi="微软雅黑" w:eastAsia="微软雅黑" w:cs="微软雅黑"/>
          <w:sz w:val="24"/>
          <w:szCs w:val="24"/>
        </w:rPr>
        <w:t>全心全意为</w:t>
      </w:r>
      <w:r>
        <w:rPr>
          <w:rFonts w:hint="eastAsia" w:ascii="微软雅黑" w:hAnsi="微软雅黑" w:eastAsia="微软雅黑" w:cs="微软雅黑"/>
          <w:sz w:val="24"/>
          <w:szCs w:val="24"/>
          <w:lang w:val="zh-CN"/>
        </w:rPr>
        <w:t>客户的</w:t>
      </w:r>
      <w:r>
        <w:rPr>
          <w:rFonts w:hint="eastAsia" w:ascii="微软雅黑" w:hAnsi="微软雅黑" w:eastAsia="微软雅黑" w:cs="微软雅黑"/>
          <w:sz w:val="24"/>
          <w:szCs w:val="24"/>
        </w:rPr>
        <w:t>品牌及知识产权的无形资产价值最大化而努力</w:t>
      </w:r>
      <w:r>
        <w:rPr>
          <w:rFonts w:hint="eastAsia" w:ascii="微软雅黑" w:hAnsi="微软雅黑" w:eastAsia="微软雅黑" w:cs="微软雅黑"/>
          <w:sz w:val="24"/>
          <w:szCs w:val="24"/>
          <w:lang w:val="zh-CN"/>
        </w:rPr>
        <w:t>！</w:t>
      </w:r>
    </w:p>
    <w:p>
      <w:pPr>
        <w:spacing w:line="400" w:lineRule="atLeast"/>
        <w:ind w:firstLine="480" w:firstLineChars="200"/>
        <w:rPr>
          <w:rFonts w:hint="eastAsia" w:ascii="微软雅黑" w:hAnsi="微软雅黑" w:eastAsia="微软雅黑" w:cs="微软雅黑"/>
          <w:sz w:val="24"/>
          <w:szCs w:val="24"/>
          <w:lang w:val="zh-CN"/>
        </w:rPr>
      </w:pPr>
    </w:p>
    <w:p>
      <w:pPr>
        <w:spacing w:line="400" w:lineRule="atLeas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联系人：滕女士    、</w:t>
      </w:r>
    </w:p>
    <w:p>
      <w:pPr>
        <w:spacing w:line="400" w:lineRule="atLeas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联系电话：13912991264</w:t>
      </w:r>
    </w:p>
    <w:p>
      <w:pPr>
        <w:spacing w:line="400" w:lineRule="atLeast"/>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邮箱：1984545064@qq.com</w:t>
      </w:r>
      <w:bookmarkStart w:id="0" w:name="_GoBack"/>
      <w:bookmarkEnd w:id="0"/>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招聘岗位：</w:t>
      </w:r>
    </w:p>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财税师助理</w:t>
      </w: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岗位职责：</w:t>
      </w:r>
    </w:p>
    <w:p>
      <w:pPr>
        <w:widowControl w:val="0"/>
        <w:numPr>
          <w:ilvl w:val="0"/>
          <w:numId w:val="2"/>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与已签约的客户相对接，收集申报相关财务资料，并对其进行审核整理；</w:t>
      </w:r>
    </w:p>
    <w:p>
      <w:pPr>
        <w:widowControl w:val="0"/>
        <w:numPr>
          <w:ilvl w:val="0"/>
          <w:numId w:val="2"/>
        </w:numPr>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根据收集的资料按照相关申报要求进行审核与调整的要求；</w:t>
      </w:r>
    </w:p>
    <w:p>
      <w:pPr>
        <w:widowControl w:val="0"/>
        <w:numPr>
          <w:ilvl w:val="0"/>
          <w:numId w:val="2"/>
        </w:numPr>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客户信息的整理文件的存档以及整理；</w:t>
      </w:r>
    </w:p>
    <w:p>
      <w:pPr>
        <w:widowControl w:val="0"/>
        <w:numPr>
          <w:ilvl w:val="0"/>
          <w:numId w:val="2"/>
        </w:numPr>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其他领导安排的事项。</w:t>
      </w: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任职要求：</w:t>
      </w:r>
    </w:p>
    <w:p>
      <w:pPr>
        <w:widowControl w:val="0"/>
        <w:numPr>
          <w:ilvl w:val="0"/>
          <w:numId w:val="3"/>
        </w:numPr>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本科及以上学历，需要会计初级证书；</w:t>
      </w:r>
    </w:p>
    <w:p>
      <w:pPr>
        <w:widowControl w:val="0"/>
        <w:numPr>
          <w:ilvl w:val="0"/>
          <w:numId w:val="3"/>
        </w:numPr>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原则性强，能接受压力。</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我们的优势：</w:t>
      </w:r>
    </w:p>
    <w:p>
      <w:pPr>
        <w:numPr>
          <w:ilvl w:val="0"/>
          <w:numId w:val="4"/>
        </w:numP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便利的交通，舒适的办公环境，人际关系简单，90后居多；</w:t>
      </w:r>
    </w:p>
    <w:p>
      <w:pPr>
        <w:numPr>
          <w:ilvl w:val="0"/>
          <w:numId w:val="4"/>
        </w:numPr>
        <w:ind w:left="0" w:leftChars="0" w:firstLine="0" w:firstLineChars="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工作时间9：00-17:30双休，完善的培训与晋升机制。</w:t>
      </w: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p>
    <w:p>
      <w:pPr>
        <w:widowControl w:val="0"/>
        <w:numPr>
          <w:ilvl w:val="0"/>
          <w:numId w:val="0"/>
        </w:numPr>
        <w:tabs>
          <w:tab w:val="left" w:pos="312"/>
        </w:tabs>
        <w:ind w:firstLine="3360" w:firstLineChars="140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项目申报专员</w:t>
      </w: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岗位职责：</w:t>
      </w: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1.负责收集整理政府相关领域产业优惠扶持政策，项目通知文件，并开展深入研究；</w:t>
      </w: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2.负责项目申报相关材料的统筹管理，包括申报书文件撰写和资料整理。</w:t>
      </w: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3.负责项目申报过程中的管控，以及与客户的相关沟通，项目进度的跟进等。</w:t>
      </w: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任职要求：</w:t>
      </w:r>
    </w:p>
    <w:p>
      <w:pPr>
        <w:widowControl w:val="0"/>
        <w:numPr>
          <w:ilvl w:val="0"/>
          <w:numId w:val="5"/>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本科及以上学历；</w:t>
      </w:r>
    </w:p>
    <w:p>
      <w:pPr>
        <w:widowControl w:val="0"/>
        <w:numPr>
          <w:ilvl w:val="0"/>
          <w:numId w:val="5"/>
        </w:numPr>
        <w:ind w:left="0" w:leftChars="0" w:firstLine="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文采优异，细心仔细；</w:t>
      </w: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我们的优势：</w:t>
      </w:r>
    </w:p>
    <w:p>
      <w:pPr>
        <w:numPr>
          <w:ilvl w:val="0"/>
          <w:numId w:val="6"/>
        </w:numPr>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便利的交通，舒适的办公环境，人际关系简单，90后居多，老带新，上手快；</w:t>
      </w:r>
    </w:p>
    <w:p>
      <w:pPr>
        <w:numPr>
          <w:ilvl w:val="0"/>
          <w:numId w:val="6"/>
        </w:numPr>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工作时间9：00-17:30双休；</w:t>
      </w:r>
    </w:p>
    <w:p>
      <w:pPr>
        <w:numPr>
          <w:ilvl w:val="0"/>
          <w:numId w:val="6"/>
        </w:numPr>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完善的培训与晋升机制。</w:t>
      </w:r>
    </w:p>
    <w:p>
      <w:pPr>
        <w:ind w:firstLine="4080" w:firstLineChars="17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商务专员</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岗位职责：</w:t>
      </w:r>
    </w:p>
    <w:p>
      <w:pPr>
        <w:numPr>
          <w:ilvl w:val="0"/>
          <w:numId w:val="7"/>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开发新客户，拓展新渠道；</w:t>
      </w:r>
    </w:p>
    <w:p>
      <w:pPr>
        <w:numPr>
          <w:ilvl w:val="0"/>
          <w:numId w:val="7"/>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良好的执行力，按要求完成工作，服从上级安排；</w:t>
      </w:r>
    </w:p>
    <w:p>
      <w:pPr>
        <w:numPr>
          <w:ilvl w:val="0"/>
          <w:numId w:val="7"/>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良好的抗压能力，有电话销售经验的优先考虑。</w:t>
      </w: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任职要求：</w:t>
      </w:r>
    </w:p>
    <w:p>
      <w:pPr>
        <w:widowControl w:val="0"/>
        <w:numPr>
          <w:ilvl w:val="0"/>
          <w:numId w:val="8"/>
        </w:numPr>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本科及以上学历；</w:t>
      </w:r>
    </w:p>
    <w:p>
      <w:pPr>
        <w:widowControl w:val="0"/>
        <w:numPr>
          <w:ilvl w:val="0"/>
          <w:numId w:val="8"/>
        </w:numPr>
        <w:ind w:left="0" w:leftChars="0" w:firstLine="0" w:firstLineChars="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性格活泼开朗，口头表达能力强。</w:t>
      </w:r>
    </w:p>
    <w:p>
      <w:pPr>
        <w:numPr>
          <w:ilvl w:val="0"/>
          <w:numId w:val="0"/>
        </w:numPr>
        <w:rPr>
          <w:rFonts w:hint="default" w:ascii="微软雅黑" w:hAnsi="微软雅黑" w:eastAsia="微软雅黑" w:cs="微软雅黑"/>
          <w:sz w:val="24"/>
          <w:szCs w:val="24"/>
          <w:lang w:val="en-US" w:eastAsia="zh-CN"/>
        </w:rPr>
      </w:pP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我们的优势：</w:t>
      </w:r>
    </w:p>
    <w:p>
      <w:pPr>
        <w:numPr>
          <w:ilvl w:val="0"/>
          <w:numId w:val="9"/>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老带新，上手快；</w:t>
      </w:r>
    </w:p>
    <w:p>
      <w:pPr>
        <w:numPr>
          <w:ilvl w:val="0"/>
          <w:numId w:val="9"/>
        </w:numP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便利的交通，舒适的办公环境，人际关系简单，90后居多；</w:t>
      </w:r>
    </w:p>
    <w:p>
      <w:pPr>
        <w:numPr>
          <w:ilvl w:val="0"/>
          <w:numId w:val="9"/>
        </w:numP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工作时间9：00-17:30双休；</w:t>
      </w:r>
    </w:p>
    <w:p>
      <w:pPr>
        <w:numPr>
          <w:ilvl w:val="0"/>
          <w:numId w:val="9"/>
        </w:numP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完善的培训与晋升机制。</w:t>
      </w: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p>
    <w:p>
      <w:pPr>
        <w:widowControl w:val="0"/>
        <w:numPr>
          <w:ilvl w:val="0"/>
          <w:numId w:val="0"/>
        </w:numPr>
        <w:tabs>
          <w:tab w:val="left" w:pos="312"/>
        </w:tabs>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项目助理</w:t>
      </w: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岗位职责：</w:t>
      </w:r>
    </w:p>
    <w:p>
      <w:pPr>
        <w:widowControl w:val="0"/>
        <w:numPr>
          <w:ilvl w:val="0"/>
          <w:numId w:val="2"/>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与已签约的客户相对接，收集申报相关资料，并对其进行审核整理；</w:t>
      </w:r>
    </w:p>
    <w:p>
      <w:pPr>
        <w:widowControl w:val="0"/>
        <w:numPr>
          <w:ilvl w:val="0"/>
          <w:numId w:val="2"/>
        </w:numPr>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根据收集的资料按照相关申报要求进行材料撰写与修改；</w:t>
      </w:r>
    </w:p>
    <w:p>
      <w:pPr>
        <w:widowControl w:val="0"/>
        <w:numPr>
          <w:ilvl w:val="0"/>
          <w:numId w:val="2"/>
        </w:numPr>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客户信息的整理文件的存档以及整理；</w:t>
      </w:r>
    </w:p>
    <w:p>
      <w:pPr>
        <w:widowControl w:val="0"/>
        <w:numPr>
          <w:ilvl w:val="0"/>
          <w:numId w:val="2"/>
        </w:numPr>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其他领导安排的事项。</w:t>
      </w:r>
    </w:p>
    <w:p>
      <w:pPr>
        <w:widowControl w:val="0"/>
        <w:numPr>
          <w:ilvl w:val="0"/>
          <w:numId w:val="0"/>
        </w:numPr>
        <w:tabs>
          <w:tab w:val="left" w:pos="312"/>
        </w:tabs>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任职要求：</w:t>
      </w:r>
    </w:p>
    <w:p>
      <w:pPr>
        <w:widowControl w:val="0"/>
        <w:numPr>
          <w:ilvl w:val="0"/>
          <w:numId w:val="1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本科及以上学历；</w:t>
      </w:r>
    </w:p>
    <w:p>
      <w:pPr>
        <w:widowControl w:val="0"/>
        <w:numPr>
          <w:ilvl w:val="0"/>
          <w:numId w:val="10"/>
        </w:numPr>
        <w:ind w:left="0" w:leftChars="0" w:firstLine="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文采优异，细心仔细。</w:t>
      </w:r>
    </w:p>
    <w:p>
      <w:pPr>
        <w:widowControl w:val="0"/>
        <w:numPr>
          <w:ilvl w:val="0"/>
          <w:numId w:val="0"/>
        </w:numPr>
        <w:jc w:val="both"/>
        <w:rPr>
          <w:rFonts w:hint="default" w:ascii="微软雅黑" w:hAnsi="微软雅黑" w:eastAsia="微软雅黑" w:cs="微软雅黑"/>
          <w:sz w:val="24"/>
          <w:szCs w:val="24"/>
          <w:lang w:val="en-US" w:eastAsia="zh-CN"/>
        </w:rPr>
      </w:pP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我们的优势：</w:t>
      </w:r>
    </w:p>
    <w:p>
      <w:pPr>
        <w:numPr>
          <w:ilvl w:val="0"/>
          <w:numId w:val="4"/>
        </w:numP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便利的交通，舒适的办公环境，人际关系简单，90后居多；</w:t>
      </w:r>
    </w:p>
    <w:p>
      <w:pPr>
        <w:numPr>
          <w:ilvl w:val="0"/>
          <w:numId w:val="4"/>
        </w:numPr>
        <w:ind w:left="0" w:leftChars="0" w:firstLine="0" w:firstLineChars="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工作时间9：00-17:30双休，完善的培训与晋升机制。</w:t>
      </w:r>
    </w:p>
    <w:p>
      <w:pPr>
        <w:rPr>
          <w:rFonts w:hint="eastAsia"/>
          <w:lang w:val="en-US" w:eastAsia="zh-CN"/>
        </w:rPr>
      </w:pPr>
    </w:p>
    <w:p>
      <w:pPr>
        <w:rPr>
          <w:rFonts w:hint="eastAsia"/>
          <w:lang w:val="en-US" w:eastAsia="zh-CN"/>
        </w:rPr>
      </w:pPr>
    </w:p>
    <w:p>
      <w:pPr>
        <w:rPr>
          <w:rFonts w:hint="eastAsia"/>
          <w:lang w:val="en-US" w:eastAsia="zh-CN"/>
        </w:rPr>
      </w:pPr>
    </w:p>
    <w:p>
      <w:pPr>
        <w:jc w:val="both"/>
        <w:rPr>
          <w:rFonts w:hint="default" w:ascii="微软雅黑" w:hAnsi="微软雅黑" w:eastAsia="微软雅黑" w:cs="微软雅黑"/>
          <w:sz w:val="24"/>
          <w:szCs w:val="24"/>
          <w:lang w:val="en-US" w:eastAsia="zh-CN"/>
        </w:rPr>
      </w:pPr>
    </w:p>
    <w:sectPr>
      <w:headerReference r:id="rId3" w:type="default"/>
      <w:footerReference r:id="rId4" w:type="default"/>
      <w:footerReference r:id="rId5" w:type="even"/>
      <w:pgSz w:w="11906" w:h="16838"/>
      <w:pgMar w:top="1887" w:right="991" w:bottom="468" w:left="993" w:header="779" w:footer="394"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宋体 Std L">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宋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960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52"/>
      <w:gridCol w:w="2952"/>
      <w:gridCol w:w="370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2" w:type="dxa"/>
          <w:tcBorders>
            <w:top w:val="single" w:color="auto" w:sz="4" w:space="0"/>
          </w:tcBorders>
        </w:tcPr>
        <w:p>
          <w:pPr>
            <w:widowControl/>
            <w:tabs>
              <w:tab w:val="center" w:pos="4320"/>
              <w:tab w:val="right" w:pos="8640"/>
            </w:tabs>
            <w:jc w:val="left"/>
            <w:rPr>
              <w:rFonts w:hint="default" w:ascii="微软雅黑" w:hAnsi="微软雅黑" w:eastAsia="微软雅黑"/>
              <w:i/>
              <w:kern w:val="0"/>
              <w:sz w:val="18"/>
              <w:szCs w:val="18"/>
              <w:lang w:val="en-US" w:eastAsia="zh-CN"/>
            </w:rPr>
          </w:pPr>
          <w:r>
            <w:rPr>
              <w:rFonts w:hint="eastAsia" w:ascii="微软雅黑" w:hAnsi="微软雅黑" w:eastAsia="微软雅黑"/>
              <w:b w:val="0"/>
              <w:bCs w:val="0"/>
              <w:i w:val="0"/>
              <w:iCs/>
              <w:kern w:val="0"/>
              <w:sz w:val="18"/>
              <w:szCs w:val="18"/>
            </w:rPr>
            <w:t>南京</w:t>
          </w:r>
          <w:r>
            <w:rPr>
              <w:rFonts w:hint="eastAsia" w:ascii="微软雅黑" w:hAnsi="微软雅黑" w:eastAsia="微软雅黑"/>
              <w:b w:val="0"/>
              <w:bCs w:val="0"/>
              <w:i w:val="0"/>
              <w:iCs/>
              <w:kern w:val="0"/>
              <w:sz w:val="18"/>
              <w:szCs w:val="18"/>
              <w:lang w:val="en-US" w:eastAsia="zh-CN"/>
            </w:rPr>
            <w:t>润道科技服务有限公司</w:t>
          </w:r>
        </w:p>
      </w:tc>
      <w:tc>
        <w:tcPr>
          <w:tcW w:w="2952" w:type="dxa"/>
          <w:tcBorders>
            <w:top w:val="single" w:color="auto" w:sz="4" w:space="0"/>
          </w:tcBorders>
        </w:tcPr>
        <w:p>
          <w:pPr>
            <w:widowControl/>
            <w:tabs>
              <w:tab w:val="center" w:pos="4320"/>
              <w:tab w:val="right" w:pos="8640"/>
            </w:tabs>
            <w:jc w:val="center"/>
            <w:rPr>
              <w:rFonts w:ascii="微软雅黑" w:hAnsi="微软雅黑" w:eastAsia="微软雅黑"/>
              <w:i/>
              <w:kern w:val="0"/>
              <w:sz w:val="18"/>
              <w:szCs w:val="18"/>
            </w:rPr>
          </w:pPr>
        </w:p>
      </w:tc>
      <w:tc>
        <w:tcPr>
          <w:tcW w:w="3702" w:type="dxa"/>
          <w:tcBorders>
            <w:top w:val="single" w:color="auto" w:sz="4" w:space="0"/>
          </w:tcBorders>
        </w:tcPr>
        <w:p>
          <w:pPr>
            <w:widowControl/>
            <w:tabs>
              <w:tab w:val="center" w:pos="4320"/>
              <w:tab w:val="right" w:pos="8640"/>
            </w:tabs>
            <w:jc w:val="right"/>
            <w:rPr>
              <w:rFonts w:ascii="微软雅黑" w:hAnsi="微软雅黑" w:eastAsia="微软雅黑"/>
              <w:i/>
              <w:kern w:val="0"/>
              <w:sz w:val="18"/>
              <w:szCs w:val="18"/>
            </w:rPr>
          </w:pPr>
          <w:r>
            <w:rPr>
              <w:rFonts w:ascii="微软雅黑" w:hAnsi="微软雅黑" w:eastAsia="微软雅黑"/>
              <w:i w:val="0"/>
              <w:iCs/>
              <w:kern w:val="0"/>
              <w:sz w:val="18"/>
              <w:szCs w:val="18"/>
              <w:lang w:val="zh-CN"/>
            </w:rPr>
            <w:t xml:space="preserve"> </w:t>
          </w:r>
          <w:r>
            <w:rPr>
              <w:rFonts w:ascii="微软雅黑" w:hAnsi="微软雅黑" w:eastAsia="微软雅黑"/>
              <w:b/>
              <w:i w:val="0"/>
              <w:iCs/>
              <w:kern w:val="0"/>
              <w:sz w:val="18"/>
              <w:szCs w:val="18"/>
            </w:rPr>
            <w:fldChar w:fldCharType="begin"/>
          </w:r>
          <w:r>
            <w:rPr>
              <w:rFonts w:ascii="微软雅黑" w:hAnsi="微软雅黑" w:eastAsia="微软雅黑"/>
              <w:b/>
              <w:i w:val="0"/>
              <w:iCs/>
              <w:kern w:val="0"/>
              <w:sz w:val="18"/>
              <w:szCs w:val="18"/>
            </w:rPr>
            <w:instrText xml:space="preserve">PAGE  \* Arabic  \* MERGEFORMAT</w:instrText>
          </w:r>
          <w:r>
            <w:rPr>
              <w:rFonts w:ascii="微软雅黑" w:hAnsi="微软雅黑" w:eastAsia="微软雅黑"/>
              <w:b/>
              <w:i w:val="0"/>
              <w:iCs/>
              <w:kern w:val="0"/>
              <w:sz w:val="18"/>
              <w:szCs w:val="18"/>
            </w:rPr>
            <w:fldChar w:fldCharType="separate"/>
          </w:r>
          <w:r>
            <w:rPr>
              <w:rFonts w:ascii="微软雅黑" w:hAnsi="微软雅黑" w:eastAsia="微软雅黑"/>
              <w:b/>
              <w:i w:val="0"/>
              <w:iCs/>
              <w:kern w:val="0"/>
              <w:sz w:val="18"/>
              <w:szCs w:val="18"/>
              <w:lang w:val="zh-CN"/>
            </w:rPr>
            <w:t>1</w:t>
          </w:r>
          <w:r>
            <w:rPr>
              <w:rFonts w:ascii="微软雅黑" w:hAnsi="微软雅黑" w:eastAsia="微软雅黑"/>
              <w:b/>
              <w:i w:val="0"/>
              <w:iCs/>
              <w:kern w:val="0"/>
              <w:sz w:val="18"/>
              <w:szCs w:val="18"/>
            </w:rPr>
            <w:fldChar w:fldCharType="end"/>
          </w:r>
          <w:r>
            <w:rPr>
              <w:rFonts w:ascii="微软雅黑" w:hAnsi="微软雅黑" w:eastAsia="微软雅黑"/>
              <w:i w:val="0"/>
              <w:iCs/>
              <w:kern w:val="0"/>
              <w:sz w:val="18"/>
              <w:szCs w:val="18"/>
              <w:lang w:val="zh-CN"/>
            </w:rPr>
            <w:t xml:space="preserve"> / </w:t>
          </w:r>
          <w:r>
            <w:rPr>
              <w:i w:val="0"/>
              <w:iCs/>
            </w:rPr>
            <w:fldChar w:fldCharType="begin"/>
          </w:r>
          <w:r>
            <w:rPr>
              <w:i w:val="0"/>
              <w:iCs/>
            </w:rPr>
            <w:instrText xml:space="preserve">NUMPAGES  \* Arabic  \* MERGEFORMAT</w:instrText>
          </w:r>
          <w:r>
            <w:rPr>
              <w:i w:val="0"/>
              <w:iCs/>
            </w:rPr>
            <w:fldChar w:fldCharType="separate"/>
          </w:r>
          <w:r>
            <w:rPr>
              <w:rFonts w:ascii="微软雅黑" w:hAnsi="微软雅黑" w:eastAsia="微软雅黑"/>
              <w:b/>
              <w:i w:val="0"/>
              <w:iCs/>
              <w:kern w:val="0"/>
              <w:sz w:val="18"/>
              <w:szCs w:val="18"/>
              <w:lang w:val="zh-CN"/>
            </w:rPr>
            <w:t>1</w:t>
          </w:r>
          <w:r>
            <w:rPr>
              <w:rFonts w:ascii="微软雅黑" w:hAnsi="微软雅黑" w:eastAsia="微软雅黑"/>
              <w:b/>
              <w:i w:val="0"/>
              <w:iCs/>
              <w:kern w:val="0"/>
              <w:sz w:val="18"/>
              <w:szCs w:val="18"/>
              <w:lang w:val="zh-CN"/>
            </w:rPr>
            <w:fldChar w:fldCharType="end"/>
          </w:r>
        </w:p>
      </w:tc>
    </w:tr>
  </w:tbl>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0" w:rightFromText="180" w:vertAnchor="page" w:horzAnchor="page" w:tblpX="773" w:tblpY="558"/>
      <w:tblOverlap w:val="never"/>
      <w:tblW w:w="10424" w:type="dxa"/>
      <w:tblInd w:w="0" w:type="dxa"/>
      <w:tblLayout w:type="fixed"/>
      <w:tblCellMar>
        <w:top w:w="0" w:type="dxa"/>
        <w:left w:w="108" w:type="dxa"/>
        <w:bottom w:w="0" w:type="dxa"/>
        <w:right w:w="108" w:type="dxa"/>
      </w:tblCellMar>
    </w:tblPr>
    <w:tblGrid>
      <w:gridCol w:w="3000"/>
      <w:gridCol w:w="4500"/>
      <w:gridCol w:w="2924"/>
    </w:tblGrid>
    <w:tr>
      <w:tblPrEx>
        <w:tblCellMar>
          <w:top w:w="0" w:type="dxa"/>
          <w:left w:w="108" w:type="dxa"/>
          <w:bottom w:w="0" w:type="dxa"/>
          <w:right w:w="108" w:type="dxa"/>
        </w:tblCellMar>
      </w:tblPrEx>
      <w:trPr>
        <w:cantSplit/>
        <w:trHeight w:val="293" w:hRule="atLeast"/>
      </w:trPr>
      <w:tc>
        <w:tcPr>
          <w:tcW w:w="3000" w:type="dxa"/>
          <w:vMerge w:val="restart"/>
        </w:tcPr>
        <w:p>
          <w:pPr>
            <w:widowControl/>
            <w:pBdr>
              <w:bottom w:val="none" w:color="auto" w:sz="0" w:space="0"/>
            </w:pBdr>
            <w:jc w:val="left"/>
            <w:rPr>
              <w:rFonts w:hint="eastAsia"/>
              <w:lang w:val="en-US" w:eastAsia="zh-CN"/>
            </w:rPr>
          </w:pPr>
          <w:r>
            <w:rPr>
              <w:rFonts w:hint="eastAsia"/>
              <w:lang w:val="en-US" w:eastAsia="zh-CN"/>
            </w:rPr>
            <w:t xml:space="preserve">    </w:t>
          </w:r>
        </w:p>
        <w:p>
          <w:pPr>
            <w:widowControl/>
            <w:pBdr>
              <w:bottom w:val="none" w:color="auto" w:sz="0" w:space="0"/>
            </w:pBdr>
            <w:jc w:val="left"/>
            <w:rPr>
              <w:rFonts w:ascii="Arial" w:hAnsi="Arial"/>
              <w:kern w:val="0"/>
              <w:sz w:val="20"/>
            </w:rPr>
          </w:pPr>
          <w:r>
            <w:rPr>
              <w:rFonts w:hint="eastAsia"/>
              <w:lang w:val="en-US" w:eastAsia="zh-CN"/>
            </w:rPr>
            <w:t xml:space="preserve">       </w:t>
          </w:r>
          <w:r>
            <w:drawing>
              <wp:inline distT="0" distB="0" distL="114300" distR="114300">
                <wp:extent cx="920750" cy="554355"/>
                <wp:effectExtent l="0" t="0" r="6350" b="4445"/>
                <wp:docPr id="3" name="图片 1" descr="微信图片_2021080316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10803165933"/>
                        <pic:cNvPicPr>
                          <a:picLocks noChangeAspect="1"/>
                        </pic:cNvPicPr>
                      </pic:nvPicPr>
                      <pic:blipFill>
                        <a:blip r:embed="rId1"/>
                        <a:stretch>
                          <a:fillRect/>
                        </a:stretch>
                      </pic:blipFill>
                      <pic:spPr>
                        <a:xfrm>
                          <a:off x="0" y="0"/>
                          <a:ext cx="920750" cy="554355"/>
                        </a:xfrm>
                        <a:prstGeom prst="rect">
                          <a:avLst/>
                        </a:prstGeom>
                      </pic:spPr>
                    </pic:pic>
                  </a:graphicData>
                </a:graphic>
              </wp:inline>
            </w:drawing>
          </w:r>
        </w:p>
      </w:tc>
      <w:tc>
        <w:tcPr>
          <w:tcW w:w="4500" w:type="dxa"/>
          <w:vAlign w:val="center"/>
        </w:tcPr>
        <w:p>
          <w:pPr>
            <w:widowControl/>
            <w:pBdr>
              <w:bottom w:val="none" w:color="auto" w:sz="0" w:space="0"/>
            </w:pBdr>
            <w:rPr>
              <w:rFonts w:hint="eastAsia" w:ascii="微软雅黑" w:hAnsi="微软雅黑" w:eastAsia="微软雅黑" w:cs="微软雅黑"/>
              <w:kern w:val="0"/>
              <w:sz w:val="20"/>
              <w:szCs w:val="20"/>
              <w:lang w:val="en-US" w:eastAsia="zh-CN"/>
            </w:rPr>
          </w:pPr>
        </w:p>
        <w:p>
          <w:pPr>
            <w:widowControl/>
            <w:pBdr>
              <w:bottom w:val="none" w:color="auto" w:sz="0" w:space="0"/>
            </w:pBdr>
            <w:rPr>
              <w:rFonts w:hint="eastAsia" w:ascii="Arial" w:hAnsi="Arial" w:eastAsia="'宋体"/>
              <w:kern w:val="0"/>
              <w:sz w:val="16"/>
              <w:szCs w:val="16"/>
            </w:rPr>
          </w:pPr>
          <w:r>
            <w:rPr>
              <w:rFonts w:hint="eastAsia" w:ascii="微软雅黑" w:hAnsi="微软雅黑" w:eastAsia="微软雅黑" w:cs="微软雅黑"/>
              <w:kern w:val="0"/>
              <w:sz w:val="20"/>
              <w:szCs w:val="20"/>
              <w:lang w:val="en-US" w:eastAsia="zh-CN"/>
            </w:rPr>
            <w:t>南京润道科技服务有限公司</w:t>
          </w:r>
        </w:p>
      </w:tc>
      <w:tc>
        <w:tcPr>
          <w:tcW w:w="2924" w:type="dxa"/>
          <w:vMerge w:val="restart"/>
          <w:vAlign w:val="center"/>
        </w:tcPr>
        <w:p>
          <w:pPr>
            <w:widowControl/>
            <w:pBdr>
              <w:bottom w:val="none" w:color="auto" w:sz="0" w:space="0"/>
            </w:pBdr>
            <w:rPr>
              <w:rFonts w:hint="eastAsia" w:ascii="Arial" w:hAnsi="Arial" w:eastAsia="'宋体"/>
              <w:kern w:val="0"/>
              <w:sz w:val="16"/>
              <w:szCs w:val="16"/>
            </w:rPr>
          </w:pPr>
          <w:r>
            <w:rPr>
              <w:rFonts w:hint="eastAsia" w:eastAsiaTheme="minorEastAsia"/>
            </w:rPr>
            <w:drawing>
              <wp:inline distT="0" distB="0" distL="114300" distR="114300">
                <wp:extent cx="504190" cy="504190"/>
                <wp:effectExtent l="0" t="0" r="3810" b="3810"/>
                <wp:docPr id="2" name="图片 2" descr="二维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维码1"/>
                        <pic:cNvPicPr>
                          <a:picLocks noChangeAspect="1"/>
                        </pic:cNvPicPr>
                      </pic:nvPicPr>
                      <pic:blipFill>
                        <a:blip r:embed="rId2"/>
                        <a:stretch>
                          <a:fillRect/>
                        </a:stretch>
                      </pic:blipFill>
                      <pic:spPr>
                        <a:xfrm>
                          <a:off x="0" y="0"/>
                          <a:ext cx="504190" cy="504190"/>
                        </a:xfrm>
                        <a:prstGeom prst="rect">
                          <a:avLst/>
                        </a:prstGeom>
                      </pic:spPr>
                    </pic:pic>
                  </a:graphicData>
                </a:graphic>
              </wp:inline>
            </w:drawing>
          </w:r>
          <w:r>
            <w:rPr>
              <w:rFonts w:hint="eastAsia" w:eastAsiaTheme="minorEastAsia"/>
            </w:rPr>
            <w:drawing>
              <wp:inline distT="0" distB="0" distL="114300" distR="114300">
                <wp:extent cx="504190" cy="511175"/>
                <wp:effectExtent l="0" t="0" r="3810" b="9525"/>
                <wp:docPr id="9" name="图片 9" descr="网站二维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网站二维码1"/>
                        <pic:cNvPicPr>
                          <a:picLocks noChangeAspect="1"/>
                        </pic:cNvPicPr>
                      </pic:nvPicPr>
                      <pic:blipFill>
                        <a:blip r:embed="rId3"/>
                        <a:stretch>
                          <a:fillRect/>
                        </a:stretch>
                      </pic:blipFill>
                      <pic:spPr>
                        <a:xfrm>
                          <a:off x="0" y="0"/>
                          <a:ext cx="504190" cy="511175"/>
                        </a:xfrm>
                        <a:prstGeom prst="rect">
                          <a:avLst/>
                        </a:prstGeom>
                      </pic:spPr>
                    </pic:pic>
                  </a:graphicData>
                </a:graphic>
              </wp:inline>
            </w:drawing>
          </w:r>
        </w:p>
      </w:tc>
    </w:tr>
    <w:tr>
      <w:tblPrEx>
        <w:tblCellMar>
          <w:top w:w="0" w:type="dxa"/>
          <w:left w:w="108" w:type="dxa"/>
          <w:bottom w:w="0" w:type="dxa"/>
          <w:right w:w="108" w:type="dxa"/>
        </w:tblCellMar>
      </w:tblPrEx>
      <w:trPr>
        <w:cantSplit/>
        <w:trHeight w:val="293" w:hRule="atLeast"/>
      </w:trPr>
      <w:tc>
        <w:tcPr>
          <w:tcW w:w="3000" w:type="dxa"/>
          <w:vMerge w:val="continue"/>
        </w:tcPr>
        <w:p>
          <w:pPr>
            <w:widowControl/>
            <w:pBdr>
              <w:bottom w:val="none" w:color="auto" w:sz="0" w:space="0"/>
            </w:pBdr>
            <w:jc w:val="left"/>
            <w:rPr>
              <w:rFonts w:ascii="Arial" w:hAnsi="Arial"/>
              <w:kern w:val="0"/>
              <w:sz w:val="20"/>
            </w:rPr>
          </w:pPr>
        </w:p>
      </w:tc>
      <w:tc>
        <w:tcPr>
          <w:tcW w:w="4500" w:type="dxa"/>
          <w:vAlign w:val="center"/>
        </w:tcPr>
        <w:p>
          <w:pPr>
            <w:widowControl/>
            <w:pBdr>
              <w:bottom w:val="none" w:color="auto" w:sz="0" w:space="0"/>
            </w:pBdr>
            <w:rPr>
              <w:rFonts w:hint="eastAsia" w:ascii="Arial" w:hAnsi="Arial" w:eastAsia="'宋体"/>
              <w:kern w:val="0"/>
              <w:sz w:val="20"/>
              <w:szCs w:val="20"/>
              <w:lang w:val="en-US"/>
            </w:rPr>
          </w:pPr>
          <w:r>
            <w:rPr>
              <w:rFonts w:hint="eastAsia" w:ascii="微软雅黑" w:hAnsi="微软雅黑" w:eastAsia="微软雅黑" w:cs="微软雅黑"/>
              <w:kern w:val="0"/>
              <w:sz w:val="20"/>
              <w:szCs w:val="20"/>
              <w:lang w:val="en-US" w:eastAsia="zh-CN"/>
            </w:rPr>
            <w:t>江苏省南京市江宁区芝兰路18号4幢</w:t>
          </w:r>
        </w:p>
      </w:tc>
      <w:tc>
        <w:tcPr>
          <w:tcW w:w="2924" w:type="dxa"/>
          <w:vMerge w:val="continue"/>
          <w:vAlign w:val="center"/>
        </w:tcPr>
        <w:p>
          <w:pPr>
            <w:widowControl/>
            <w:pBdr>
              <w:bottom w:val="none" w:color="auto" w:sz="0" w:space="0"/>
            </w:pBdr>
            <w:rPr>
              <w:rFonts w:hint="eastAsia" w:ascii="Arial" w:hAnsi="Arial" w:eastAsia="'宋体"/>
              <w:kern w:val="0"/>
              <w:sz w:val="16"/>
              <w:szCs w:val="16"/>
            </w:rPr>
          </w:pPr>
        </w:p>
      </w:tc>
    </w:tr>
  </w:tbl>
  <w:p>
    <w:pPr>
      <w:widowControl/>
      <w:pBdr>
        <w:bottom w:val="none" w:color="auto" w:sz="0" w:space="0"/>
      </w:pBdr>
      <w:jc w:val="left"/>
      <w:rPr>
        <w:rFonts w:ascii="Arial" w:hAnsi="Arial" w:cs="Arial"/>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8A485"/>
    <w:multiLevelType w:val="singleLevel"/>
    <w:tmpl w:val="81B8A485"/>
    <w:lvl w:ilvl="0" w:tentative="0">
      <w:start w:val="1"/>
      <w:numFmt w:val="decimal"/>
      <w:lvlText w:val="%1."/>
      <w:lvlJc w:val="left"/>
      <w:pPr>
        <w:tabs>
          <w:tab w:val="left" w:pos="312"/>
        </w:tabs>
      </w:pPr>
    </w:lvl>
  </w:abstractNum>
  <w:abstractNum w:abstractNumId="1">
    <w:nsid w:val="8B929C2D"/>
    <w:multiLevelType w:val="singleLevel"/>
    <w:tmpl w:val="8B929C2D"/>
    <w:lvl w:ilvl="0" w:tentative="0">
      <w:start w:val="1"/>
      <w:numFmt w:val="decimal"/>
      <w:suff w:val="space"/>
      <w:lvlText w:val="%1."/>
      <w:lvlJc w:val="left"/>
    </w:lvl>
  </w:abstractNum>
  <w:abstractNum w:abstractNumId="2">
    <w:nsid w:val="BD772711"/>
    <w:multiLevelType w:val="singleLevel"/>
    <w:tmpl w:val="BD772711"/>
    <w:lvl w:ilvl="0" w:tentative="0">
      <w:start w:val="1"/>
      <w:numFmt w:val="decimal"/>
      <w:lvlText w:val="%1."/>
      <w:lvlJc w:val="left"/>
      <w:pPr>
        <w:tabs>
          <w:tab w:val="left" w:pos="312"/>
        </w:tabs>
      </w:pPr>
    </w:lvl>
  </w:abstractNum>
  <w:abstractNum w:abstractNumId="3">
    <w:nsid w:val="F06C8777"/>
    <w:multiLevelType w:val="singleLevel"/>
    <w:tmpl w:val="F06C8777"/>
    <w:lvl w:ilvl="0" w:tentative="0">
      <w:start w:val="1"/>
      <w:numFmt w:val="decimal"/>
      <w:suff w:val="space"/>
      <w:lvlText w:val="%1."/>
      <w:lvlJc w:val="left"/>
    </w:lvl>
  </w:abstractNum>
  <w:abstractNum w:abstractNumId="4">
    <w:nsid w:val="F7EEDD1E"/>
    <w:multiLevelType w:val="singleLevel"/>
    <w:tmpl w:val="F7EEDD1E"/>
    <w:lvl w:ilvl="0" w:tentative="0">
      <w:start w:val="1"/>
      <w:numFmt w:val="decimal"/>
      <w:lvlText w:val="%1."/>
      <w:lvlJc w:val="left"/>
      <w:pPr>
        <w:tabs>
          <w:tab w:val="left" w:pos="312"/>
        </w:tabs>
      </w:pPr>
    </w:lvl>
  </w:abstractNum>
  <w:abstractNum w:abstractNumId="5">
    <w:nsid w:val="0000000E"/>
    <w:multiLevelType w:val="multilevel"/>
    <w:tmpl w:val="000000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CD334EC"/>
    <w:multiLevelType w:val="singleLevel"/>
    <w:tmpl w:val="1CD334EC"/>
    <w:lvl w:ilvl="0" w:tentative="0">
      <w:start w:val="1"/>
      <w:numFmt w:val="decimal"/>
      <w:suff w:val="space"/>
      <w:lvlText w:val="%1."/>
      <w:lvlJc w:val="left"/>
    </w:lvl>
  </w:abstractNum>
  <w:abstractNum w:abstractNumId="7">
    <w:nsid w:val="66CBC6DC"/>
    <w:multiLevelType w:val="singleLevel"/>
    <w:tmpl w:val="66CBC6DC"/>
    <w:lvl w:ilvl="0" w:tentative="0">
      <w:start w:val="1"/>
      <w:numFmt w:val="decimal"/>
      <w:suff w:val="space"/>
      <w:lvlText w:val="%1."/>
      <w:lvlJc w:val="left"/>
    </w:lvl>
  </w:abstractNum>
  <w:abstractNum w:abstractNumId="8">
    <w:nsid w:val="7BC5144A"/>
    <w:multiLevelType w:val="singleLevel"/>
    <w:tmpl w:val="7BC5144A"/>
    <w:lvl w:ilvl="0" w:tentative="0">
      <w:start w:val="1"/>
      <w:numFmt w:val="decimal"/>
      <w:suff w:val="space"/>
      <w:lvlText w:val="%1."/>
      <w:lvlJc w:val="left"/>
    </w:lvl>
  </w:abstractNum>
  <w:abstractNum w:abstractNumId="9">
    <w:nsid w:val="7F40BC84"/>
    <w:multiLevelType w:val="singleLevel"/>
    <w:tmpl w:val="7F40BC84"/>
    <w:lvl w:ilvl="0" w:tentative="0">
      <w:start w:val="1"/>
      <w:numFmt w:val="decimal"/>
      <w:suff w:val="space"/>
      <w:lvlText w:val="%1."/>
      <w:lvlJc w:val="left"/>
    </w:lvl>
  </w:abstractNum>
  <w:num w:numId="1">
    <w:abstractNumId w:val="5"/>
  </w:num>
  <w:num w:numId="2">
    <w:abstractNumId w:val="4"/>
  </w:num>
  <w:num w:numId="3">
    <w:abstractNumId w:val="9"/>
  </w:num>
  <w:num w:numId="4">
    <w:abstractNumId w:val="6"/>
  </w:num>
  <w:num w:numId="5">
    <w:abstractNumId w:val="7"/>
  </w:num>
  <w:num w:numId="6">
    <w:abstractNumId w:val="8"/>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4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MTQ2MWZhYjVhZWVlZTgzMWQ3NTA3Y2VlMDI3MTAifQ=="/>
  </w:docVars>
  <w:rsids>
    <w:rsidRoot w:val="00172A27"/>
    <w:rsid w:val="0000708A"/>
    <w:rsid w:val="000221D8"/>
    <w:rsid w:val="00033C98"/>
    <w:rsid w:val="000362A7"/>
    <w:rsid w:val="000529F0"/>
    <w:rsid w:val="000635C6"/>
    <w:rsid w:val="000915B3"/>
    <w:rsid w:val="000C0CC9"/>
    <w:rsid w:val="000D2FB7"/>
    <w:rsid w:val="00172A27"/>
    <w:rsid w:val="0018534D"/>
    <w:rsid w:val="001A11A3"/>
    <w:rsid w:val="00210D8F"/>
    <w:rsid w:val="00227E86"/>
    <w:rsid w:val="002339B3"/>
    <w:rsid w:val="002571E7"/>
    <w:rsid w:val="00273455"/>
    <w:rsid w:val="00276950"/>
    <w:rsid w:val="002804AF"/>
    <w:rsid w:val="00287BAB"/>
    <w:rsid w:val="002E142C"/>
    <w:rsid w:val="002F326B"/>
    <w:rsid w:val="002F454F"/>
    <w:rsid w:val="00343D2C"/>
    <w:rsid w:val="003B3943"/>
    <w:rsid w:val="00446E95"/>
    <w:rsid w:val="00481312"/>
    <w:rsid w:val="004847CC"/>
    <w:rsid w:val="004B1527"/>
    <w:rsid w:val="004C48DC"/>
    <w:rsid w:val="004C7B5E"/>
    <w:rsid w:val="004F4F85"/>
    <w:rsid w:val="00537A9B"/>
    <w:rsid w:val="00567040"/>
    <w:rsid w:val="005A5D83"/>
    <w:rsid w:val="005E32D2"/>
    <w:rsid w:val="005E7765"/>
    <w:rsid w:val="006336EC"/>
    <w:rsid w:val="00660643"/>
    <w:rsid w:val="0067452C"/>
    <w:rsid w:val="00692B13"/>
    <w:rsid w:val="00727C35"/>
    <w:rsid w:val="00740597"/>
    <w:rsid w:val="00753331"/>
    <w:rsid w:val="00766336"/>
    <w:rsid w:val="007724C2"/>
    <w:rsid w:val="007923B7"/>
    <w:rsid w:val="007D6316"/>
    <w:rsid w:val="007E2FE0"/>
    <w:rsid w:val="007F7F50"/>
    <w:rsid w:val="00800F99"/>
    <w:rsid w:val="00812238"/>
    <w:rsid w:val="008419CD"/>
    <w:rsid w:val="008469A1"/>
    <w:rsid w:val="00846DDD"/>
    <w:rsid w:val="008A09F1"/>
    <w:rsid w:val="008D5FE1"/>
    <w:rsid w:val="008F0BFC"/>
    <w:rsid w:val="00925101"/>
    <w:rsid w:val="00953A6B"/>
    <w:rsid w:val="00953D42"/>
    <w:rsid w:val="009823C6"/>
    <w:rsid w:val="00991473"/>
    <w:rsid w:val="00993E4F"/>
    <w:rsid w:val="00995D76"/>
    <w:rsid w:val="009A48BD"/>
    <w:rsid w:val="009B1037"/>
    <w:rsid w:val="009B769F"/>
    <w:rsid w:val="00A10F3A"/>
    <w:rsid w:val="00A6427D"/>
    <w:rsid w:val="00A723D5"/>
    <w:rsid w:val="00AD2106"/>
    <w:rsid w:val="00B32E00"/>
    <w:rsid w:val="00B57940"/>
    <w:rsid w:val="00B83394"/>
    <w:rsid w:val="00B956A4"/>
    <w:rsid w:val="00BC7851"/>
    <w:rsid w:val="00BD0455"/>
    <w:rsid w:val="00BE7768"/>
    <w:rsid w:val="00C00288"/>
    <w:rsid w:val="00C31BDC"/>
    <w:rsid w:val="00C33699"/>
    <w:rsid w:val="00C5340D"/>
    <w:rsid w:val="00C575C6"/>
    <w:rsid w:val="00C61FC4"/>
    <w:rsid w:val="00C6283D"/>
    <w:rsid w:val="00C84581"/>
    <w:rsid w:val="00CE6CDD"/>
    <w:rsid w:val="00CF40DE"/>
    <w:rsid w:val="00D15587"/>
    <w:rsid w:val="00D6624C"/>
    <w:rsid w:val="00D67089"/>
    <w:rsid w:val="00E05FFC"/>
    <w:rsid w:val="00E459DE"/>
    <w:rsid w:val="00E5153E"/>
    <w:rsid w:val="00E868EE"/>
    <w:rsid w:val="00E92F64"/>
    <w:rsid w:val="00EA20D8"/>
    <w:rsid w:val="00EC2923"/>
    <w:rsid w:val="00EF4F44"/>
    <w:rsid w:val="00EF6C9F"/>
    <w:rsid w:val="00F03941"/>
    <w:rsid w:val="00F2634D"/>
    <w:rsid w:val="00F87D24"/>
    <w:rsid w:val="00FA07C5"/>
    <w:rsid w:val="00FC2B76"/>
    <w:rsid w:val="038463CF"/>
    <w:rsid w:val="067D0CE3"/>
    <w:rsid w:val="08AD6364"/>
    <w:rsid w:val="096D02DC"/>
    <w:rsid w:val="0B023FBE"/>
    <w:rsid w:val="0CBB10DB"/>
    <w:rsid w:val="0E2E2AAF"/>
    <w:rsid w:val="17B3408F"/>
    <w:rsid w:val="19082A51"/>
    <w:rsid w:val="1E42744E"/>
    <w:rsid w:val="2F7E75C4"/>
    <w:rsid w:val="30AC795D"/>
    <w:rsid w:val="354C1B5C"/>
    <w:rsid w:val="35910CD4"/>
    <w:rsid w:val="35D01D68"/>
    <w:rsid w:val="386C0196"/>
    <w:rsid w:val="3F904496"/>
    <w:rsid w:val="428C7CB1"/>
    <w:rsid w:val="48412AE3"/>
    <w:rsid w:val="4A312E2C"/>
    <w:rsid w:val="4D2663CB"/>
    <w:rsid w:val="4F6A1DFD"/>
    <w:rsid w:val="56EE5A23"/>
    <w:rsid w:val="65924CEE"/>
    <w:rsid w:val="66EA6489"/>
    <w:rsid w:val="69E356CA"/>
    <w:rsid w:val="6CD37C1B"/>
    <w:rsid w:val="6EFD58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宋体" w:cs="Times New Roman"/>
      <w:kern w:val="2"/>
      <w:sz w:val="24"/>
      <w:szCs w:val="20"/>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text"/>
    <w:basedOn w:val="1"/>
    <w:link w:val="28"/>
    <w:semiHidden/>
    <w:qFormat/>
    <w:uiPriority w:val="99"/>
    <w:pPr>
      <w:jc w:val="left"/>
    </w:pPr>
  </w:style>
  <w:style w:type="paragraph" w:styleId="3">
    <w:name w:val="Body Text Indent"/>
    <w:basedOn w:val="1"/>
    <w:link w:val="21"/>
    <w:qFormat/>
    <w:uiPriority w:val="99"/>
    <w:pPr>
      <w:ind w:firstLine="281" w:firstLineChars="100"/>
    </w:pPr>
    <w:rPr>
      <w:rFonts w:ascii="宋体" w:hAnsi="宋体"/>
      <w:b/>
      <w:sz w:val="28"/>
    </w:rPr>
  </w:style>
  <w:style w:type="paragraph" w:styleId="4">
    <w:name w:val="List 2"/>
    <w:basedOn w:val="1"/>
    <w:qFormat/>
    <w:uiPriority w:val="99"/>
    <w:pPr>
      <w:ind w:left="100" w:leftChars="200" w:hanging="200" w:hangingChars="200"/>
    </w:pPr>
    <w:rPr>
      <w:rFonts w:ascii="Times New Roman" w:hAnsi="Times New Roman"/>
      <w:sz w:val="21"/>
    </w:rPr>
  </w:style>
  <w:style w:type="paragraph" w:styleId="5">
    <w:name w:val="Balloon Text"/>
    <w:basedOn w:val="1"/>
    <w:link w:val="26"/>
    <w:semiHidden/>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sz w:val="18"/>
    </w:rPr>
  </w:style>
  <w:style w:type="paragraph" w:styleId="8">
    <w:name w:val="List"/>
    <w:basedOn w:val="1"/>
    <w:qFormat/>
    <w:uiPriority w:val="99"/>
    <w:pPr>
      <w:ind w:left="200" w:hanging="200" w:hangingChars="200"/>
    </w:pPr>
    <w:rPr>
      <w:rFonts w:ascii="Times New Roman" w:hAnsi="Times New Roman"/>
      <w:sz w:val="21"/>
    </w:rPr>
  </w:style>
  <w:style w:type="paragraph" w:styleId="9">
    <w:name w:val="Normal (Web)"/>
    <w:basedOn w:val="1"/>
    <w:qFormat/>
    <w:uiPriority w:val="99"/>
    <w:pPr>
      <w:widowControl/>
      <w:spacing w:before="100" w:beforeAutospacing="1" w:after="100" w:afterAutospacing="1"/>
      <w:jc w:val="left"/>
    </w:pPr>
    <w:rPr>
      <w:rFonts w:ascii="宋体" w:hAnsi="宋体"/>
      <w:kern w:val="0"/>
    </w:rPr>
  </w:style>
  <w:style w:type="paragraph" w:styleId="10">
    <w:name w:val="Title"/>
    <w:basedOn w:val="1"/>
    <w:link w:val="23"/>
    <w:qFormat/>
    <w:uiPriority w:val="99"/>
    <w:pPr>
      <w:jc w:val="left"/>
      <w:outlineLvl w:val="0"/>
    </w:pPr>
    <w:rPr>
      <w:rFonts w:eastAsia="黑体"/>
    </w:rPr>
  </w:style>
  <w:style w:type="table" w:styleId="12">
    <w:name w:val="Table Grid"/>
    <w:basedOn w:val="11"/>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CC"/>
      <w:u w:val="single"/>
    </w:rPr>
  </w:style>
  <w:style w:type="character" w:styleId="17">
    <w:name w:val="annotation reference"/>
    <w:basedOn w:val="13"/>
    <w:semiHidden/>
    <w:qFormat/>
    <w:uiPriority w:val="99"/>
    <w:rPr>
      <w:rFonts w:cs="Times New Roman"/>
      <w:sz w:val="21"/>
      <w:szCs w:val="21"/>
    </w:rPr>
  </w:style>
  <w:style w:type="character" w:customStyle="1" w:styleId="18">
    <w:name w:val="top1"/>
    <w:qFormat/>
    <w:uiPriority w:val="99"/>
    <w:rPr>
      <w:rFonts w:ascii="??" w:hAnsi="??"/>
      <w:sz w:val="18"/>
    </w:rPr>
  </w:style>
  <w:style w:type="character" w:customStyle="1" w:styleId="19">
    <w:name w:val="Footer Char"/>
    <w:qFormat/>
    <w:locked/>
    <w:uiPriority w:val="99"/>
    <w:rPr>
      <w:rFonts w:ascii="Garamond" w:hAnsi="Garamond"/>
      <w:kern w:val="2"/>
      <w:sz w:val="18"/>
    </w:rPr>
  </w:style>
  <w:style w:type="character" w:customStyle="1" w:styleId="20">
    <w:name w:val="页脚 Char"/>
    <w:basedOn w:val="13"/>
    <w:link w:val="6"/>
    <w:semiHidden/>
    <w:qFormat/>
    <w:locked/>
    <w:uiPriority w:val="99"/>
    <w:rPr>
      <w:rFonts w:ascii="Garamond" w:hAnsi="Garamond" w:cs="Times New Roman"/>
      <w:sz w:val="18"/>
      <w:szCs w:val="18"/>
    </w:rPr>
  </w:style>
  <w:style w:type="character" w:customStyle="1" w:styleId="21">
    <w:name w:val="正文文本缩进 Char"/>
    <w:basedOn w:val="13"/>
    <w:link w:val="3"/>
    <w:semiHidden/>
    <w:qFormat/>
    <w:locked/>
    <w:uiPriority w:val="99"/>
    <w:rPr>
      <w:rFonts w:ascii="Garamond" w:hAnsi="Garamond" w:cs="Times New Roman"/>
      <w:sz w:val="20"/>
      <w:szCs w:val="20"/>
    </w:rPr>
  </w:style>
  <w:style w:type="character" w:customStyle="1" w:styleId="22">
    <w:name w:val="页眉 Char"/>
    <w:basedOn w:val="13"/>
    <w:link w:val="7"/>
    <w:qFormat/>
    <w:locked/>
    <w:uiPriority w:val="99"/>
    <w:rPr>
      <w:rFonts w:ascii="Garamond" w:hAnsi="Garamond" w:cs="Times New Roman"/>
      <w:kern w:val="2"/>
      <w:sz w:val="18"/>
    </w:rPr>
  </w:style>
  <w:style w:type="character" w:customStyle="1" w:styleId="23">
    <w:name w:val="标题 Char"/>
    <w:basedOn w:val="13"/>
    <w:link w:val="10"/>
    <w:qFormat/>
    <w:locked/>
    <w:uiPriority w:val="99"/>
    <w:rPr>
      <w:rFonts w:ascii="Cambria" w:hAnsi="Cambria" w:cs="Times New Roman"/>
      <w:b/>
      <w:bCs/>
      <w:sz w:val="32"/>
      <w:szCs w:val="32"/>
    </w:rPr>
  </w:style>
  <w:style w:type="paragraph" w:customStyle="1" w:styleId="24">
    <w:name w:val="Char Char Char Char"/>
    <w:basedOn w:val="1"/>
    <w:qFormat/>
    <w:uiPriority w:val="99"/>
    <w:pPr>
      <w:widowControl/>
      <w:spacing w:after="160" w:line="240" w:lineRule="exact"/>
      <w:jc w:val="left"/>
    </w:pPr>
  </w:style>
  <w:style w:type="paragraph" w:customStyle="1" w:styleId="25">
    <w:name w:val="无页眉"/>
    <w:qFormat/>
    <w:uiPriority w:val="99"/>
    <w:rPr>
      <w:rFonts w:ascii="楷体_GB2312" w:hAnsi="Adobe 宋体 Std L" w:eastAsia="楷体_GB2312" w:cs="Tahoma"/>
      <w:b/>
      <w:color w:val="CC0000"/>
      <w:kern w:val="0"/>
      <w:sz w:val="44"/>
      <w:szCs w:val="44"/>
      <w:lang w:val="en-US" w:eastAsia="zh-CN" w:bidi="ar-SA"/>
    </w:rPr>
  </w:style>
  <w:style w:type="character" w:customStyle="1" w:styleId="26">
    <w:name w:val="批注框文本 Char"/>
    <w:basedOn w:val="13"/>
    <w:link w:val="5"/>
    <w:semiHidden/>
    <w:qFormat/>
    <w:locked/>
    <w:uiPriority w:val="99"/>
    <w:rPr>
      <w:rFonts w:ascii="Garamond" w:hAnsi="Garamond" w:cs="Times New Roman"/>
      <w:kern w:val="2"/>
      <w:sz w:val="18"/>
      <w:szCs w:val="18"/>
    </w:rPr>
  </w:style>
  <w:style w:type="paragraph" w:customStyle="1" w:styleId="27">
    <w:name w:val="List Paragraph"/>
    <w:basedOn w:val="1"/>
    <w:qFormat/>
    <w:uiPriority w:val="99"/>
    <w:pPr>
      <w:ind w:firstLine="420" w:firstLineChars="200"/>
    </w:pPr>
  </w:style>
  <w:style w:type="character" w:customStyle="1" w:styleId="28">
    <w:name w:val="批注文字 Char"/>
    <w:basedOn w:val="13"/>
    <w:link w:val="2"/>
    <w:semiHidden/>
    <w:qFormat/>
    <w:locked/>
    <w:uiPriority w:val="99"/>
    <w:rPr>
      <w:rFonts w:ascii="Garamond" w:hAnsi="Garamond" w:cs="Times New Roman"/>
      <w:kern w:val="2"/>
      <w:sz w:val="24"/>
    </w:rPr>
  </w:style>
  <w:style w:type="table" w:customStyle="1" w:styleId="29">
    <w:name w:val="网格型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1256</Words>
  <Characters>1313</Characters>
  <Lines>1</Lines>
  <Paragraphs>1</Paragraphs>
  <TotalTime>2</TotalTime>
  <ScaleCrop>false</ScaleCrop>
  <LinksUpToDate>false</LinksUpToDate>
  <CharactersWithSpaces>1318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2017-02-08T07:03:00Z</dcterms:created>
  <dc:creator>猪猪猫.CN</dc:creator>
  <cp:lastModifiedBy>润道</cp:lastModifiedBy>
  <cp:lastPrinted>2015-02-26T07:13:00Z</cp:lastPrinted>
  <dcterms:modified xsi:type="dcterms:W3CDTF">2022-11-02T05:16:10Z</dcterms:modified>
  <dc:title>云南省著名商标认定的可行性分析报告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CDFD5880C9D941858AEE0E4F4A63507F</vt:lpwstr>
  </property>
</Properties>
</file>